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2017/25 vom 27. Mai 2019</w:t>
      </w:r>
    </w:p>
    <w:p>
      <w:r>
        <w:t>Sg Versicherungsgericht, 2019-05-27, DE</w:t>
      </w:r>
    </w:p>
    <w:p>
      <w:r>
        <w:rPr>
          <w:b/>
        </w:rPr>
        <w:t xml:space="preserve">Quelle: </w:t>
      </w:r>
      <w:r>
        <w:t>https://mcp.opencaselaw.ch/entscheid/sg_publikationen_IV 2017_25</w:t>
      </w:r>
    </w:p>
    <w:p>
      <w:r>
        <w:t>FR: SG_VERSICHERUNGSGERICHT IV 2017/25 du 27 mai 2019</w:t>
      </w:r>
    </w:p>
    <w:p>
      <w:r>
        <w:t>IT: SG_VERSICHERUNGSGERICHT IV 2017/25 del 27 maggio 2019</w:t>
      </w:r>
    </w:p>
    <w:p>
      <w:pPr>
        <w:pStyle w:val="Heading2"/>
      </w:pPr>
      <w:r>
        <w:t>Regeste</w:t>
      </w:r>
    </w:p>
    <w:p>
      <w:r>
        <w:t>Art. 28 IVG. Art. 43 ATSG. Verwertbarkeit der Observationsergebnisse bejaht. Beweiskraft des Gutachtens bejaht. Retrospektiv besteht Beweislosigkeit. Abweisung der Beschwerde (Entscheid des Versicherungsgerichts des Kantons St. Gallen vom 27. Mai 2019, IV 2017/25).</w:t>
      </w:r>
    </w:p>
    <w:p>
      <w:pPr>
        <w:pStyle w:val="Heading2"/>
      </w:pPr>
      <w:r>
        <w:t>Erwägungen</w:t>
      </w:r>
    </w:p>
    <w:p>
      <w:r>
        <w:rPr>
          <w:b/>
        </w:rPr>
        <w:t>E. 1</w:t>
      </w:r>
    </w:p>
    <w:p>
      <w:r>
        <w:t>Zwischen den Parteien umstritten und nachfolgend zu prüfen ist ein Rentenanspruch des Beschwerdeführers.</w:t>
      </w:r>
    </w:p>
    <w:p>
      <w:r>
        <w:rPr>
          <w:b/>
        </w:rPr>
        <w:t>E. 2</w:t>
      </w:r>
    </w:p>
    <w:p>
      <w:r>
        <w:t>2.1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132 V 99 E. 4).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2.4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138 V 221 f. E. 6).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w:t>
      </w:r>
    </w:p>
    <w:p>
      <w:r>
        <w:rPr>
          <w:b/>
        </w:rPr>
        <w:t>E. 3</w:t>
      </w:r>
    </w:p>
    <w:p>
      <w:r>
        <w:t>Zunächst ist zu prüfen, ob der medizinische Sachverhalt rechtsgenüglich abgeklärt ist. Die Beschwerdegegnerin stützt sich bei ihrer (medizinischen) Beurteilung insbesondere auf das rheumatologisch-psychiatrische Administrativgutachten von Dr. N.___ und Dr. M.___ (IV-act. 205 f.). Der Beschwerdeführer hält die Observation für unzulässig, weshalb auch das Gutachten, welches in Kenntnis der Observationsunterlagen ergangen sei, nicht beweiskräftig sei.</w:t>
      </w:r>
    </w:p>
    <w:p>
      <w:r>
        <w:rPr>
          <w:b/>
        </w:rPr>
        <w:t>E. 4</w:t>
      </w:r>
    </w:p>
    <w:p>
      <w:r>
        <w:t>4.1  Bezüglich der Frage ihrer Rechtmässigkeit steht mit Rücksicht auf die Rechtsprechung (BGE 143 I 377) fest, dass die in den Monaten April und Juni 2014 erfolgten Observationen (vgl. IV-act. 157, 170) mangels genügender gesetzlicher Grundlage unzulässig waren, weshalb eine Verletzung von Art. 8 der Europäischen Menschenrechtskonvention (EMRK; SR 0.101) und Art. 13 der Bundesverfassung (BV; SR 101) festzustellen ist. Es bleibt zu prüfen, ob die Voraussetzungen für eine Verwertung der Ergebnisse trotzdem erfüllt sind. 4.2  Praxisgemäss muss eine Observation objektiv geboten sein, das heisst, es müssen konkrete Anhaltspunkte vorliegen, die Zweifel an den geäusserten gesundheitlichen Beschwerden oder der geltend gemachten Arbeitsunfähigkeit aufkommen lassen (Urteil des Bundesgerichts vom 30. November 2018, 8C_634/2018, E. 5.2). Bei vorgenanntem Anfangsverdacht ist die Verwertung der Observationsergebnisse nach bundesgerichtlicher Rechtsprechung zulässig, sofern eine Abwägung der privaten und öffentlichen Interessen ergibt, dass letztere überwiegen. Voraussetzung für die Verwertbarkeit einer gegen Art. 8 EMRK verstossenden Videoaufnahme ist nach Auffassung des höchsten Gerichts weiter, dass nur Handlungen des Versicherten aufgezeichnet werden, die er aus eigenem Antrieb und ohne äussere Beeinflussung machte, wobei ihm keine Falle gestellt werden darf. Von einem absoluten Verwertungsverbot wäre nur dann auszugehen, wenn es um Beweismaterial ginge, das im nicht öffentlich frei einsehbaren Raum zusammengetragen wurde (BGE 143 I 385 f. E. 5.1.1 und 5.1.3). 4.3  Bereits anlässlich der Abklärungen aufgrund der ersten IV-Anmeldung zufolge geltend gemachter Rückenbeschwerden im Jahr 2007 beschrieb Dr. med. O.___, Rheumatologie FMH, eine Tendenz des Beschwerdeführers zu körperlicher Selbstlimitierung (IV-act. 33-8). Dr. med. P.___, sprach im Jahr 2008 im Weiteren sinngemäss gar von gewissen Rentenbegehrlichkeiten (IV-at. 17-3). Während der Abklärungen aufgrund der aktuellen IV-Anmeldung ging der Beschwerdegegnerin im Januar 2014 ein anonymes Schreiben ein, wonach sich der Beschwerdeführer körperlich rege betätige (IV-act. 143). Damit lagen zumindest in Bezug auf das auch bei der zweiten IV-Anmeldung geltend gemachte Rückenleiden und die Schmerzen an der rechten Hand (IV-act. 55-7) konkrete Anhaltspunkte vor, die Zweifel an den geäusserten gesundheitlichen Beschwerden aufkommen liessen. Ein genügender Anfangsverdacht war gegeben. 4.4  Die Observationsdokumentation zeigt (unbeeinflusste) Handlungen des Beschwerdeführers, die im öffentlichen Raum aufgenommen wurden (IV-act. 157, 170 und CDs). Die tatsächlichen Observationen fanden an fünf Tagen im April 2014 sowie an zwei Tagen im Juni 2014 statt. Der Beschwerdeführer wurde dabei lediglich an vier Tagen beobachtet (IV-act. 157, 170 und CDs). Er wurde nur über einen kurzen Zeitraum beobachtet und war weder einer systematischen noch ständigen Überwachung ausgesetzt. In dieser Hinsicht erlitt er einen relativ geringen Eingriff in seine grundrechtliche Position. Stellt man diesen Aspekten das erhebliche und gewichtige öffentliche Interesse an der Verhinderung des Versicherungsmissbrauchs (vgl. dazu Urteil des Bundesgerichts vom 17. Dezember 2009, 8C_239/2008, E. 6.4.2) entgegen, ergibt sich, dass die vorliegenden Observationsberichte und die Videoaufnahmen in die Beweiswürdigung miteinbezogen werden können bzw. das Administrativgutachten der Dres. N.___ und M.___, aufgrund der Observation und weil teilweise auf deren Ergebnisse verwiesen wird, nicht die Beweiskraft verliert.</w:t>
      </w:r>
    </w:p>
    <w:p>
      <w:r>
        <w:rPr>
          <w:b/>
        </w:rPr>
        <w:t>E. 5</w:t>
      </w:r>
    </w:p>
    <w:p>
      <w:r>
        <w:t>5.1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Eidgenössischen Versicherungsgerichts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Beim Gutachten des Neurologicums Zürichsee (IV-act. 205 f.) handelt es sich um ein formgerecht eingeholtes externes Administrativgutachten (IV-act. 180, 187), welchem nur bei konkreten Indizien gegen die Zuverlässigkeit nicht volle Beweiskraft zukommt. 5.2  In rheumatologischer Hinsicht bestehen keine Anhaltspunkte dafür, dass der Beurteilung im Gutachten nicht gefolgt werden könnte. Solche macht der Beschwerdeführer auch nicht geltend. Dem Gutachten liegt eine persönliche klinische Untersuchung des Beschwerdeführers zugrunde (IV-act. 206-9 f.) Die somatische (Kranken-)Geschichte und deren dazugehörenden Dokumente (inkl. bildgebende Unterlagen) wurden von Dr. N.___ im Gutachten aufgeführt (IV-act. 206-2 ff.), einbezogen und diskutiert (IV-act. 206-11 ff.). Auch konnte sich der Beschwerdeführer zu seinen Beschwerden und deren Entwicklung genügend äussern (IV-act. 206-7 f.). Gestützt darauf wurden die somatischen Diagnosen überzeugend gestellt (IV-act. 206-11), ein begründetes Belastungsprofil erstellt und die Arbeitsfähigkeit des Beschwerdeführers nachvollziehbar geschätzt (IV-act. 206-14 ff.). Es kann vollumfänglich auf das rheumatologische Gutachten abgestellt werden. Damit ist der Beschwerdeführer aus somatischer Sicht in einer wechsel¬belastenden, körperlich leichten bis mittelschweren Tätigkeit mit häufig möglichem Wechsel der Körperposition bzw. ohne länger stehend oder sitzend durchzuführende Tätigkeiten, ohne repetitives Heben von Lasten über 7.5 Kilogramm und Einzellasten über 20 Kilogramm zu 100% ohne zusätzliche Leistungseinschränkungen arbeitsfähig.</w:t>
      </w:r>
    </w:p>
    <w:p>
      <w:r>
        <w:rPr>
          <w:b/>
        </w:rPr>
        <w:t>E. 5.3</w:t>
      </w:r>
    </w:p>
    <w:p>
      <w:r>
        <w:t>5.3.1  Auch das psychiatrische Teilgutachten von Dr. M.___ entspricht den Anforderungen der Rechtsprechung. Die Beurteilung erging unter Einbezug und Diskussion der Vorgeschichte bzw. der vorhandenen (medizinischen) Aktenlage (IV-act. 205-2 ff., 205-18 ff.). Anlässlich der Exploration konnte sich der Beschwerdeführer ausführlich zu seinen Beschwerden und deren Entwicklung äussern (IV-act. 205-13 ff.). Die psychiatrische Befunderhebung erfolgte in Anlehnung an das anerkannte AMDP-System (IV-act. 205-18.). Diesbezüglich konnte kein eindeutiges affektives Syndrom, insbesondere keine dafür typische Deprimiertheit oder psychomotorische Beeinträchtigung festgestellt werden (IV-act. 205-19). Auf der Basis der erhobenen Befunde bzw. aufgrund des Fehlens von diagnoserelevanten Befunden stellte der Gutachter nachvollziehbar die Diagnosen depressive Episode, derzeit remittiert (ICD-10: F32.4) und Verdacht auf narzisstische Persönlichkeitsakzentuierung (ICD-10: Z73.1). Dr. M.___ begründet in Würdigung der ergangenen divergierenden medizinischen Aktenlage und in Beachtung der eigenen Untersuchung (inklusive Symptomvalidierungstest [Rey Memory Test; IV-act. 205-18]), warum seiner Meinung nach früher gestellte Diagnosen (schwere depressive Episode, psychotische Symptome, Persönlichkeitsstörung mit narzisstischen und paranoiden Anteilen, anhaltende somatoforme Schmerzstörung) nicht oder nicht mehr zu stellen seien (IV-act. 205-18 ff.). In seine Beurteilung fliessen auch Ungereimtheiten (vgl. dazu die Ausführungen zu den visuellen Sinnestäuschungen; IV-act. 205-21), das Aussage- sowie Antwortverhalten des Beschwerdeführers (vgl. die kritische Würdigung zur Beschwerdeschilderung; IV-act. 205-17, 19) und die anlässlich der Observation gemachten Beobachtungen (festgestellte Diskrepanzen und Inkonsistenzen in den Bereichen Psychomotorik, soziale Kontakte sowie Affektpräsentation; IV-act. 205-26) ein. Das psychiatrische Teilgutachten erscheint gestützt auf das Gesagte umfassend, medizinisch nachvollziehbar und schlüssig begründet. 5.3.2  Es kann gestützt auf die Observationsergebnisse nicht in Abrede gestellt werden, dass der Beschwerdeführer den Krankheitsverlauf und die Beschwerdeintensität in somatischer und psychischer Hinsicht sowie sein noch mögliches Aktivitätsniveau zumindest anlässlich des Standortgesprächs vom 23. Juli 2014 bei der Beschwerdegegnerin teils übertrieben, teils falsch dargestellt hat (beispielhaft die Aussagen im Widerspruch zur Observation: "es ist jeden Tag gleich schlimm", "ich habe gemerkt, dass ich den Kopf schlecht drehen kann", "ich müsste ganz langsam in die Knie gehen und ihn [den Leuchtstift] aufheben" [IV-act. 176-4 f.], "beim Gehen bekomme ich in der rechten Schulter Schmerzen; ich muss dann den rechten Arm so [angewinkelt] halten oder in eine Tasche stecken" [IV-act. 176-7], "[ich gehe] vielleicht eine Viertelstunde oder eine halbe Stunde [nach draussen]", IV-act. 176-7). Ob beim Beschwerdeführer gestützt darauf von Aggravation oder gar Simulation auszugehen ist, kann letztlich offenbleiben (gemäss Gutachten waren konsistente Anhaltspunkte für Malingering vorhanden; IV-act. 205-18, 20). Zumindest Verdeutlichungstendenzen des Beschwerdeführers sind aufgrund des Gesagten nicht von der Hand zu weisen. Auch in Beachtung des Umstands, dass eine Verdeutlichung bei der Befragung durch die Beschwerdegegnerin (IV-act. 176) oder bei den gutachterlichen Untersuchungen (IV-act. 205 f.) von der Natur der Sache her bis zu einem gewissen Grad verständlich ist, besteht Anlass zur Annahme, dass der Leidensdruck des Beschwerdeführers bei objektiver Betrachtung – sowohl in somatischer als auch in psychiatrischer Hinsicht – nicht derart ist, wie er ihn beschreibt bzw. bei den behandelnden Ärzten jeweils beschrieb. Auch gestützt auf diese Ausführungen ist nachvollziehbar, dass Dr. M.___ zum Schluss gelangte, es seien keine relevanten psychischen Defizite (mehr) vorhanden. 5.3.3  Es fällt zwar auf, dass sämtliche involvierten behandelnden Psychiaterinnen und Psychiater das psychische Leiden des Beschwerdeführers weit gravierender einschätzten als Dr. M.___ (vgl. dazu die Ausführungen im Sachverhalt). Diesbezüglich ist von Belang, dass Dr. M.___ – wie erwähnt – die gestellten Diagnosen und psychischen Einschränkungen in seinem Gutachten in umfassender Würdigung nachvollziehbar widerlegte bzw. begründet nicht mehr bestätigte. Wichtige, seitens der behandelnden Ärzte benannte Aspekte blieben weder unerkannt noch ungewürdigt. Die Berichte der behandelnden Fachärzte beruhten – im Gegensatz zum Administrativgutachten – weder auf einer umfassenden Sachverhaltskenntnis noch auf umfassender Abklärung. So lagen diesen beispielsweise weder die Observationsergebnisse noch die vollständigen IV-Akten vor. In dem Sinne fand keine kritische Prüfung der geltend gemachten Beschwerden und Einschränkungen statt. Dies führt letztlich dazu, dass die divergierenden Einschätzungen der behandelnden Ärzte keine konkreten Indizien gegen die Zuverlässigkeit der Beurteilung von Dr. M.___ darstellen und damit keine ernsthaften Zweifel an dieser Beurteilung zu begründen vermögen. Auch dem Teilgutachten von Dr. M.___ kommt damit Beweiswert zu. Dies hat zur Folge, dass im Verfügungszeitpunkt mangels rechtsgenüglichen Nachweises relevanter psychischer Defizite Einschränkungen aus psychiatrischer Sicht nicht hinreichend bewiesen sind (IV-act. 205-22 f.). 5.4  Zusammengefasst ist festzuhalten, dass der medizinische Sachverhalt per Verfügungszeitpunkt rechtsgenüglich abgeklärt wurde. Dem Administrativgutachten kommt Beweiswert zu und es besteht kein Anlass, bezüglich der medizinisch-theoretischen Arbeitsfähigkeit von dessen Einschätzungen abzuweichen. Aus psychiatrischer Sicht gilt der Beschwerdeführer damit als zu 100% leistungsfähig (IV-act. 205-22 f.). Aus somatischer Sicht ist der Beschwerdeführer in einer wechselbelastenden, körperlich leichten bis mittelschweren Tätigkeit mit häufig möglichem Wechsel der Körperposition bzw. ohne länger stehend oder sitzend durchzuführende Tätigkeiten, ohne repetitives Heben von Lasten über 7.5 Kilogramm und Einzellasten über 20 Kilogramm zu 100% ohne zusätzliche Leistungseinschränkungen arbeitsfähig. Auch insgesamt ist damit von einer 100%-igen Arbeitsfähigkeit in einer angepassten Tätigkeit auszugehen (IV-act. 205-29 f.). Folglich besteht offenkundig kein rentenbegründender Invaliditätsgrad von mindestens 40%, sodass die konkrete Bemessung des Invaliditätsgrads unterbleiben kann.</w:t>
      </w:r>
    </w:p>
    <w:p>
      <w:r>
        <w:rPr>
          <w:b/>
        </w:rPr>
        <w:t>E. 6</w:t>
      </w:r>
    </w:p>
    <w:p>
      <w:r>
        <w:t>6.1  Zur Prüfung verbleibt ein allfälliger befristeter Rentenanspruch seit frühestmöglichem Rentenbeginn (August 2012 bei Anmeldung im Februar 2012; vgl. dazu Art. 29 Abs. 1 IVG). Diesbezüglich beantragte der Beschwerdeführer in seinem Einwand vom 9. September 2016 zum Vorbescheid der Beschwerdegegnerin, dass die Rentenleistungen bei über einem Jahr andauernder relevanter Arbeitsunfähigkeit rückwirkend zu bezahlen seien (IV-act. 210-1 f.). Zu prüfen ist im Folgenden, ob gestützt auf die medizinische Aktenlage der überwiegend wahrscheinliche Beweis gelingt, dass der Beschwerdeführer retrospektiv die Voraussetzungen nach Art. 28 IVG (vgl. E. 2.1) für einen befristeten Rentenanspruch erfüllt hat. 6.2  Wie bereits unter vorstehender E. 5.4.3 angetönt, beruhen die Berichte und Stellungnahmen bzw. die Arbeitsunfähigkeitsbescheinigungen der behandelnden Psychiaterinnen und Psychiater auf nicht umfassender Sachverhaltskenntnis und Abklärung. Auch wurden die vom Beschwerdeführer geltend gemachten psychischen Leiden und Einschränkungen keiner kritischen Prüfung unterzogen, weshalb retrospektiv auf deren Einschätzung nicht abgestellt werden kann. Dr. M.___ äussert sich bezüglich des Beginns und zeitlichen Verlaufs dahingehend, dass das vom Beschwerdeführer dargebotene Bild verschiedene Qualifikationen und Beurteilungen zulasse, wobei er es auch retrospektiv favorisiere, von keinen relevanten psychischen Einschränkungen auszugehen (IV-act. 205-23). 6.3  In Beachtung der gesamten Aktenlage erscheint durchaus möglich, dass der Beschwerdeführer in der Vergangenheit während längerer Phasen relevante psychische Defizite bzw. entsprechende Arbeitsunfähigkeiten aufwies. Dafür sprechen insbesondere die stationären und teilstationären Behandlungen in den Jahren 2011 bis 2014 (vgl. dazu den Sachverhalt lit. B.c, B.f, B.h, B.k). Genauso möglich erscheint indes, dass das von Dr. M.___ aufgezeigte und diesem Beschwerdebild zugängliche (IV-act. 205-25) willkürlich modulierbare, intendierte Verhalten des Beschwerdeführers (IV-act. 205-21) bereits in der Vergangenheit vorgelegen hat. Wie erwähnt, genügt die blosse Möglichkeit eines bestimmten Sachverhalts den Beweisanforderungen nicht. Relevante psychische Defizite und einen Anspruch begründende Arbeitsunfähigkeiten bzw. Erwerbsunfähigkeiten sind damit auch in der Vergangenheit nicht überwiegend wahrscheinlich ausgewiesen. Sie haben als unbewiesen zu gelten. Die Folgen daraus hat der Beschwerdeführer zu tragen (vgl. vorstehende E. 2.4). Weitere Abklärungen zum retrospektiven Verlauf wären auch aufgrund des erwähnten Aussageverhaltens des Beschwerdeführers (E. 5.4.2), welchem insbesondere bei den vorliegend geltend gemachten psychischen Beeinträchtigungen hohes Gewicht zukommt, nicht zielführend. Entsprechend besteht mangels des Nachweises einer relevanten Arbeitsunfähigkeit ab August 2012 auch kein Anspruch auf eine befristete Rente.</w:t>
      </w:r>
    </w:p>
    <w:p>
      <w:r>
        <w:rPr>
          <w:b/>
        </w:rPr>
        <w:t>E. 7</w:t>
      </w:r>
    </w:p>
    <w:p>
      <w:r>
        <w:t>7.1  Nach dem Gesagten ist die Verfügung vom 29. November 2016 nicht zu beanstanden und die Beschwerde abzuweisen.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dem Beschwerdeführer aufzuerlegen. Zufolge Gewährung der unentgeltlichen Rechtspflege (vgl. vorstehende lit. C.c) ist er von der Bezahlung zu befreien. 7.3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Praxisgemäss wird die Parteientschädigung bei einem durchschnittlich aufwändigen IV-Rentenfall auf rund Fr. 3'500.-- (inklusive Barauslagen und Mehrwertsteuer) festgesetzt. Da es sich beim vorliegenden Fall um einen solchen handelt, ist von diesem Ansatz auszugehen, die pauschale Entschädigung aber um einen Fünftel zu kürzen (Art. 31 Abs. 3 Anwaltsgesetz [AnwG; sGS 963.70]). Somit entschädigt der Staat den Rechtsvertreter des Beschwerdeführers pauschal (vgl. BGE 125 V 201) mit Fr. 2'800.-- (inklusive Barauslagen und Mehrwertsteuer). 7.4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